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9B" w:rsidRDefault="009A7A9B" w:rsidP="00C3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A9B" w:rsidRPr="00D331A3" w:rsidRDefault="009A7A9B" w:rsidP="00D331A3">
      <w:pPr>
        <w:spacing w:after="0" w:line="240" w:lineRule="auto"/>
        <w:jc w:val="center"/>
        <w:rPr>
          <w:rFonts w:cs="Times New Roman"/>
          <w:noProof/>
          <w:lang w:eastAsia="ru-RU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A7A9B" w:rsidRDefault="009A7A9B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9A7A9B" w:rsidRPr="00AF5883" w:rsidRDefault="009A7A9B" w:rsidP="00AF5883">
      <w:pPr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5883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9A7A9B" w:rsidRDefault="009A7A9B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2EA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9A7A9B" w:rsidRPr="001341BA" w:rsidRDefault="009A7A9B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25 июля 2022 года                     п.Ефимовский                         № 140</w:t>
      </w:r>
    </w:p>
    <w:tbl>
      <w:tblPr>
        <w:tblW w:w="73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8"/>
      </w:tblGrid>
      <w:tr w:rsidR="009A7A9B" w:rsidRPr="00C21551">
        <w:trPr>
          <w:trHeight w:val="206"/>
          <w:tblCellSpacing w:w="15" w:type="dxa"/>
        </w:trPr>
        <w:tc>
          <w:tcPr>
            <w:tcW w:w="0" w:type="auto"/>
            <w:vAlign w:val="center"/>
          </w:tcPr>
          <w:p w:rsidR="009A7A9B" w:rsidRPr="00C21551" w:rsidRDefault="009A7A9B" w:rsidP="00202A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A9B" w:rsidRPr="00015D00" w:rsidRDefault="009A7A9B" w:rsidP="001341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накоплениятвердых к</w:t>
      </w:r>
      <w:bookmarkStart w:id="0" w:name="_GoBack"/>
      <w:bookmarkEnd w:id="0"/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9A7A9B" w:rsidRPr="00015D00" w:rsidRDefault="009A7A9B" w:rsidP="001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актуализации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Ефимов</w:t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9A7A9B" w:rsidRDefault="009A7A9B" w:rsidP="001341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1.Внести изменения в постановление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изложив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Ефимов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>ского городского поселения Бокситогорского муниципального района Ленинградской области в новой редакции (прилагается).</w:t>
      </w:r>
    </w:p>
    <w:p w:rsidR="009A7A9B" w:rsidRPr="001341BA" w:rsidRDefault="009A7A9B" w:rsidP="001341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A7A9B" w:rsidRDefault="009A7A9B" w:rsidP="001341BA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2.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Постановлениеопубликовать (обнародовать) в газе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 "Новый путь" 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официальном сайте Ефимовског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городского поселения</w:t>
      </w:r>
      <w:r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9A7A9B" w:rsidRDefault="009A7A9B" w:rsidP="001341BA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A9B" w:rsidRDefault="009A7A9B" w:rsidP="001341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015D00">
        <w:rPr>
          <w:color w:val="000000"/>
          <w:sz w:val="28"/>
          <w:szCs w:val="28"/>
        </w:rPr>
        <w:t xml:space="preserve">. </w:t>
      </w:r>
      <w:r w:rsidRPr="00AE5C2B">
        <w:rPr>
          <w:color w:val="000000"/>
          <w:sz w:val="28"/>
          <w:szCs w:val="28"/>
        </w:rPr>
        <w:t xml:space="preserve"> Настоящее постановление вступает в силу на следующий день после официального опубликования.</w:t>
      </w:r>
    </w:p>
    <w:p w:rsidR="009A7A9B" w:rsidRDefault="009A7A9B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7A9B" w:rsidRDefault="009A7A9B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7A9B" w:rsidRDefault="009A7A9B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A7A9B" w:rsidRPr="00015D00" w:rsidRDefault="009A7A9B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>Глава администрации                                                    С.И. Покровкин</w:t>
      </w:r>
    </w:p>
    <w:p w:rsidR="009A7A9B" w:rsidRDefault="009A7A9B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прокуратуру,  в дело</w:t>
      </w:r>
      <w:r w:rsidRPr="00015D00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p w:rsidR="009A7A9B" w:rsidRDefault="009A7A9B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9A7A9B" w:rsidRDefault="009A7A9B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9A7A9B" w:rsidRDefault="009A7A9B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9A7A9B" w:rsidRDefault="009A7A9B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9A7A9B" w:rsidRDefault="009A7A9B" w:rsidP="004C58E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lang w:eastAsia="ru-RU"/>
        </w:rPr>
        <w:sectPr w:rsidR="009A7A9B" w:rsidSect="00D331A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5"/>
        <w:gridCol w:w="55"/>
        <w:gridCol w:w="60"/>
        <w:gridCol w:w="564"/>
        <w:gridCol w:w="60"/>
        <w:gridCol w:w="905"/>
        <w:gridCol w:w="926"/>
        <w:gridCol w:w="60"/>
        <w:gridCol w:w="60"/>
        <w:gridCol w:w="60"/>
        <w:gridCol w:w="60"/>
        <w:gridCol w:w="60"/>
        <w:gridCol w:w="60"/>
        <w:gridCol w:w="60"/>
        <w:gridCol w:w="34"/>
        <w:gridCol w:w="432"/>
        <w:gridCol w:w="468"/>
        <w:gridCol w:w="552"/>
        <w:gridCol w:w="504"/>
        <w:gridCol w:w="585"/>
        <w:gridCol w:w="504"/>
        <w:gridCol w:w="574"/>
        <w:gridCol w:w="60"/>
        <w:gridCol w:w="60"/>
        <w:gridCol w:w="660"/>
        <w:gridCol w:w="727"/>
        <w:gridCol w:w="60"/>
        <w:gridCol w:w="60"/>
        <w:gridCol w:w="60"/>
        <w:gridCol w:w="60"/>
        <w:gridCol w:w="60"/>
        <w:gridCol w:w="60"/>
        <w:gridCol w:w="60"/>
        <w:gridCol w:w="60"/>
        <w:gridCol w:w="442"/>
        <w:gridCol w:w="60"/>
        <w:gridCol w:w="60"/>
        <w:gridCol w:w="185"/>
        <w:gridCol w:w="309"/>
        <w:gridCol w:w="564"/>
        <w:gridCol w:w="60"/>
        <w:gridCol w:w="60"/>
        <w:gridCol w:w="60"/>
        <w:gridCol w:w="60"/>
        <w:gridCol w:w="12"/>
        <w:gridCol w:w="48"/>
        <w:gridCol w:w="60"/>
        <w:gridCol w:w="60"/>
        <w:gridCol w:w="516"/>
        <w:gridCol w:w="648"/>
        <w:gridCol w:w="396"/>
        <w:gridCol w:w="216"/>
        <w:gridCol w:w="60"/>
        <w:gridCol w:w="60"/>
        <w:gridCol w:w="1203"/>
        <w:gridCol w:w="679"/>
        <w:gridCol w:w="617"/>
      </w:tblGrid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Приложение к постановлению администрации Ефимовского городского поселения   № 140   от 25 .07. 2022</w:t>
            </w:r>
          </w:p>
        </w:tc>
        <w:tc>
          <w:tcPr>
            <w:tcW w:w="684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2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79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gridSpan w:val="9"/>
            <w:h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05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5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МЕСТ НАКОПЛЕНИЯ ТВЕРДЫХ КОММУНАЛЬНЫХ ОТХОДОВ</w:t>
            </w:r>
          </w:p>
        </w:tc>
        <w:tc>
          <w:tcPr>
            <w:tcW w:w="679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gridSpan w:val="2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15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gridSpan w:val="9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места накопления ТКО</w:t>
            </w:r>
          </w:p>
        </w:tc>
        <w:tc>
          <w:tcPr>
            <w:tcW w:w="965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926" w:type="dxa"/>
            <w:gridSpan w:val="2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432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8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727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11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ИП</w:t>
            </w:r>
          </w:p>
        </w:tc>
        <w:tc>
          <w:tcPr>
            <w:tcW w:w="309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обственниках мест накопления ТКО для физических лиц</w:t>
            </w:r>
          </w:p>
        </w:tc>
        <w:tc>
          <w:tcPr>
            <w:tcW w:w="684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8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Данные об источниках образования ТКО</w:t>
            </w:r>
          </w:p>
        </w:tc>
        <w:tc>
          <w:tcPr>
            <w:tcW w:w="679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площадки (открытая/закрытая)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контейнера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Материал, из которого изготовлен контейнер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Объем контейнера м3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контейнеров данного объема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9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Вид деятельности, в результате которого образуется ТКО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26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</w:t>
            </w:r>
          </w:p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м-он1 д.2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д.2,3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 м-он 1 д.4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д.3,4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д.5,6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д.7,8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1 микрорайон, д.9,10,11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Быстрорецкая набережная д.21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ул.Быстрорецкая набережная, пер.Школьный , ул.Больничная, пет.Старый, пер.Полевой, пер.Кирпичный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ул.Вокзальная, д.56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 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ул.Вокзальная, ул.Хвойная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ул.Володарского, ул.Гусарова, пер.Рабочий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д.16-а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ул.Володарсколго, пер.Рабочий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ул. Володарского,            д. 27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 п.Ефимовский, ул.Володарского, ул.Привокзальная, ул.Железнодорожная, ул.Центральная, ул.Вокзальная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Ефимовское потребительское общество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1024700507578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п.Ефимовский,ул.Гагарина,д1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59.496020 34.668309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ИП "Комолов В.В"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1024700507578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п.Ефимовский,ул.Гагарина,д5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Гагарина, д. 44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ул.Гагарина, ул.Комсомольская, ул.Хвойная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ул. Горная, д. 26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ул.Горная, ул.Ярославская набережная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ул.Гусарова д.8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ул.Гусарова, ул.Малая Спортивная, пер.Рабочий, ул.Северо-Западная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ул.Гусарова, д.24А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ул.Гусарова, пер.Брянский, пер.Сенной, ул.Гагарина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пер.Заводской, д.1А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пер.Заводской, ул.Спортивная, ул.Механизаторов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Заводская, д. 28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ул.Заводская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ул.Комсомольская д.5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ул.Комсомольская, ул.Гагарина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МКД, Юр.лица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ул.Комсомольская д.9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п.Ефимовский,ул.Комсомольская, д.9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Деятельность ОМС городских поселений,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 МКД, Юр.лица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Красноармейская д.1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ул.Красноармейская, ул.Северная, ул.Восточная, пер.Красноармейский, ул.Ефимово, пер.Лесной, ул.Лесная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ИЖС.МКД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Красноармейская,           д. 44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ул.Красноармейская, ул.Песочная, ул.Лесная, пер.Лесной, пер.Песочный, пер.Пионерский,  пер.Восточный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ул.Кузнечная, д.13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ул.Кузнечная, ул.Малая Спортивная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Леспромхозовская, д.6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ул.Леспромхозовская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ул. Лесмпромхозовская, д. 18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ул.Леспромхозовская, ул.Лесхозовская, ул.Гагарина, ул.Комсомольская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ул.Луговая, д.7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ул.Луговая, ул.Кузнечная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ул.Механизаторов, д.6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ул.Механизаторов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Молодежная д.5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ул.Молодежная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Северная, д.13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ул.Северная, ул.Ефимово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ул. Северная, д. 36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ул.Северная, пер.Железнодорожный, пер.Восточный, пер.Овражный, ул.Пионерская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ул.Сенная, пер.Брянский, ул.Нижегородская, пер.Сенной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ул.Сенная, ул.Механизаторов, пер.Тамбовский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Тамбовский шлюз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ул.Тамбовский шлюз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ул. Хвойная, д. 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ул.Хвойная, ул.Заводская, ул.Железнодорожная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Центральная, д. 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ул.Центральная, ул.Вокзальная, ул.Спортивная, ул.Садовая, ул.Комсомольская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    ул. Центральная, д. 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ул.Центральная, ул.Хвойная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   ул. Школьная, в районе, д.  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ГКОУ ЛО "Ефимовская школа-интернат, реализующая адаптированные образовательные программы"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1034700507654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187620, Ленинградская область, бокситогорский район, пгт. Ефимовский, ул. Школьная, дом 7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п.Ефимовский,ул.Школьная,  д. 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ул.Школьная д.</w:t>
            </w:r>
          </w:p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ул.Школьная, д.1,2,3,4,5,6,13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Великое Село            на въезде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дер.Великое Село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Вожани, д. 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дер.Вожани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Забелье на въезде слева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дер.Забелье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напротив д. 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в районе д. 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        в районе д. 60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Калитки, д. 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дер.Калитки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пос. Кожаково                     на въезде справа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дер.Кожаково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Косые Харчевни в районе домов 12, 18, 27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дер.Косые Харчевни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д. 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дер.Красная Речка, д.1,2,3,4,5,6,7,8,9,10,11,12,13,14,15,16,17,18,19,20,21,22,23,24,25,26,27,28,29,30,31.32,33,34,35, 36,37,38,40,42,44,46,48,50,52,54,56,58,60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напротив д. 70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дер.Красная Речка, д.39,41,43,45,47,49,51,68,70,72 ,74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Лопастино на въезде слева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дер.Лопастино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Машнево, д. 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дер.Машнево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Михалево, д. 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дер.Михалево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Нос, д. 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дер.Нос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 xml:space="preserve">ИЖС.МКД 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Ростань                       на въезде слева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дер.Ростань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Семеново               около автобусной остановки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дер.Семеново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дер.Чудская, д.2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дер.Чудская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Колхозная, д.12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ул.Колхозная, ул.Мира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ул.Советская, д.7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ул.Советская, ул.Набережная, ул.Колхозная, ул.Мира, пер.Почтовый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ул.Советская,д.75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ул.Советская, ул.Новая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   ул. Советская, д.87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 ул.Ярославская , д. 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ул.Ярославская, ул.Белозерка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                        ул. Ярославская, д.59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ул.Ярославская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Ярославская, д.68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с.Сомино, ул.Ярославская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ИЖС.МКД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дер.Сосновый Бор, д.1,2,3,4,5,6,7,8,9,10,11,12,13,14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дер.Сосновый Бор Бор, д.15,16,17,18,19,20,21,22,23,24 ,25,26,27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                 между д. 8 и 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дер.Спирово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в районе д. 27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дер.Спирово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Сухая Нива, д. 16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дер.Сухая Нива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Бережок, д.8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дер.Бережок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дер.Бирючево, д.4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дер.Бирючево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дер.Городок, д.4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дер.Городок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дер.Дятелка, д.1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дер.Дятелка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дер.Журавлево, ул.Воскресенская, д.11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пер.Нетининский, ул.Новая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Журавлево, ул.Воскресенская, д.46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ул.Школьная, пер.Нетининский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дер.Журавлево, ул.Героя Советского Союза Волкова В.А., д.2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ул.Героя Советского Союза Волкова В.А.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дер.Забелино, д.10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дер.Забелино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дер.Климово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 xml:space="preserve">ИЖС,МКД 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дер.Климово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 xml:space="preserve">ИЖС,МКД 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дер.Коргорка, д.22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дер.Коргорка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Логиново, д.9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метвлл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дер.Логиново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дер.Новиково, д.22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дер.Новиково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дер.Озерево, д.17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дер.Озерево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дер.Толсть, д.2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дер.Толсть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дер.Тушемля, д.34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дер.Тушемля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дер.Усадище, д.41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дер.Усадище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дер.Шульгино, д.16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дер.Шульгино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Белая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дер.Белая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Боброзеро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дер.Боброзеро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Бор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дер.Бор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Борисовщина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дер.Борисовщина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Красноборский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п.Красноборский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Красный Бор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дер.Красный Бор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дер.Лахта, д.7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дер.Лахта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Петрово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дер.Петрово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Пожарище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дер.Пожарище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Прокушево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дер.Прокушево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Пятино,                          напротив дома № 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дер.Пятино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 у дома № 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дер.Радогощь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 xml:space="preserve">ИЖС, МКД 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у кладбища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дер.Радогощь, территория кладбища в дер.Радогощь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 xml:space="preserve">ИЖС, МКД 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Саньков Бор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дер.Саньков Бор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дер.Сидорово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C58EB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9A7A9B" w:rsidRPr="004C58E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Сидорово, у кладбища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922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305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gridSpan w:val="18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дер.Сидорово, территория кладбища в дер.Сидорово</w:t>
            </w:r>
          </w:p>
        </w:tc>
        <w:tc>
          <w:tcPr>
            <w:tcW w:w="679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9B" w:rsidRPr="004C58EB" w:rsidRDefault="009A7A9B" w:rsidP="004C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C58EB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</w:tr>
    </w:tbl>
    <w:p w:rsidR="009A7A9B" w:rsidRPr="009837F0" w:rsidRDefault="009A7A9B" w:rsidP="0098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A9B" w:rsidRPr="009837F0" w:rsidSect="004C58EB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5D00"/>
    <w:rsid w:val="00021182"/>
    <w:rsid w:val="000335B5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E6233"/>
    <w:rsid w:val="000E643B"/>
    <w:rsid w:val="000F32E6"/>
    <w:rsid w:val="00106743"/>
    <w:rsid w:val="00107255"/>
    <w:rsid w:val="00126C70"/>
    <w:rsid w:val="00130988"/>
    <w:rsid w:val="001341BA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593E"/>
    <w:rsid w:val="002B6072"/>
    <w:rsid w:val="002C247B"/>
    <w:rsid w:val="002D383F"/>
    <w:rsid w:val="002D3DC5"/>
    <w:rsid w:val="002E2601"/>
    <w:rsid w:val="002E6205"/>
    <w:rsid w:val="0030734B"/>
    <w:rsid w:val="00320904"/>
    <w:rsid w:val="003253A6"/>
    <w:rsid w:val="00345056"/>
    <w:rsid w:val="00360CE1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9118D"/>
    <w:rsid w:val="004A1B45"/>
    <w:rsid w:val="004A60A2"/>
    <w:rsid w:val="004B34CD"/>
    <w:rsid w:val="004B5CC5"/>
    <w:rsid w:val="004C1112"/>
    <w:rsid w:val="004C4FC0"/>
    <w:rsid w:val="004C58EB"/>
    <w:rsid w:val="004D35C9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2F7B"/>
    <w:rsid w:val="006D35D4"/>
    <w:rsid w:val="006D44CF"/>
    <w:rsid w:val="006E2D49"/>
    <w:rsid w:val="00705716"/>
    <w:rsid w:val="00705BC6"/>
    <w:rsid w:val="00707D33"/>
    <w:rsid w:val="0071023B"/>
    <w:rsid w:val="00712573"/>
    <w:rsid w:val="007208D9"/>
    <w:rsid w:val="007264AC"/>
    <w:rsid w:val="00733C15"/>
    <w:rsid w:val="00734B71"/>
    <w:rsid w:val="0073536B"/>
    <w:rsid w:val="00767044"/>
    <w:rsid w:val="00775AE7"/>
    <w:rsid w:val="00783121"/>
    <w:rsid w:val="00790B0E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61FC8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51D90"/>
    <w:rsid w:val="0096538D"/>
    <w:rsid w:val="009837F0"/>
    <w:rsid w:val="009A1828"/>
    <w:rsid w:val="009A7A9B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573CF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E5C2B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558AD"/>
    <w:rsid w:val="00B7106D"/>
    <w:rsid w:val="00B74E36"/>
    <w:rsid w:val="00B7508D"/>
    <w:rsid w:val="00B807E2"/>
    <w:rsid w:val="00B952C6"/>
    <w:rsid w:val="00B95937"/>
    <w:rsid w:val="00BA0EA6"/>
    <w:rsid w:val="00BA10E2"/>
    <w:rsid w:val="00BA3D18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00C6A"/>
    <w:rsid w:val="00C067D5"/>
    <w:rsid w:val="00C120D2"/>
    <w:rsid w:val="00C21551"/>
    <w:rsid w:val="00C302C3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5056F"/>
    <w:rsid w:val="00D54C4E"/>
    <w:rsid w:val="00D669A8"/>
    <w:rsid w:val="00D75956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044"/>
    <w:rsid w:val="00DF662D"/>
    <w:rsid w:val="00E00090"/>
    <w:rsid w:val="00E0058E"/>
    <w:rsid w:val="00E05065"/>
    <w:rsid w:val="00E22047"/>
    <w:rsid w:val="00E312A9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3782A"/>
    <w:rsid w:val="00F44939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D54CD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17</Pages>
  <Words>5145</Words>
  <Characters>29333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26</cp:revision>
  <cp:lastPrinted>2021-02-12T09:35:00Z</cp:lastPrinted>
  <dcterms:created xsi:type="dcterms:W3CDTF">2021-02-08T10:54:00Z</dcterms:created>
  <dcterms:modified xsi:type="dcterms:W3CDTF">2022-07-29T08:05:00Z</dcterms:modified>
</cp:coreProperties>
</file>