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A" w:rsidRDefault="00B3349A" w:rsidP="00C30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B3349A" w:rsidRPr="00480DE2" w:rsidRDefault="00B3349A" w:rsidP="004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E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3349A" w:rsidRPr="00480DE2" w:rsidRDefault="00B3349A" w:rsidP="004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E2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B3349A" w:rsidRDefault="00B3349A" w:rsidP="004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E2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B3349A" w:rsidRPr="00480DE2" w:rsidRDefault="00B3349A" w:rsidP="004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9A" w:rsidRDefault="00B3349A" w:rsidP="001341BA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D2EAA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D2EAA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3349A" w:rsidRPr="00480DE2" w:rsidRDefault="00B3349A" w:rsidP="00480DE2">
      <w:pPr>
        <w:tabs>
          <w:tab w:val="left" w:pos="66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4516B">
        <w:rPr>
          <w:rFonts w:ascii="Times New Roman" w:hAnsi="Times New Roman" w:cs="Times New Roman"/>
          <w:sz w:val="28"/>
          <w:szCs w:val="28"/>
        </w:rPr>
        <w:t>22</w:t>
      </w:r>
      <w:r w:rsidRPr="0044516B">
        <w:rPr>
          <w:rFonts w:ascii="Times New Roman" w:hAnsi="Times New Roman" w:cs="Times New Roman"/>
          <w:sz w:val="32"/>
          <w:szCs w:val="32"/>
        </w:rPr>
        <w:t xml:space="preserve"> </w:t>
      </w:r>
      <w:r w:rsidRPr="00480DE2">
        <w:rPr>
          <w:rFonts w:ascii="Times New Roman" w:hAnsi="Times New Roman" w:cs="Times New Roman"/>
          <w:sz w:val="32"/>
          <w:szCs w:val="32"/>
        </w:rPr>
        <w:t>а</w:t>
      </w:r>
      <w:r w:rsidRPr="00480DE2">
        <w:rPr>
          <w:rFonts w:ascii="Times New Roman" w:hAnsi="Times New Roman" w:cs="Times New Roman"/>
          <w:sz w:val="28"/>
          <w:szCs w:val="28"/>
        </w:rPr>
        <w:t>преля 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фимовский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73</w:t>
      </w:r>
    </w:p>
    <w:p w:rsidR="00B3349A" w:rsidRPr="00015D00" w:rsidRDefault="00B3349A" w:rsidP="00480D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61«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мест (площадок) </w:t>
      </w:r>
      <w:proofErr w:type="spellStart"/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накоплениятвердых</w:t>
      </w:r>
      <w:proofErr w:type="spellEnd"/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коммунальных отходов на территории Ефимовского городского поселения Бокситогорского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района Ленинградской области»</w:t>
      </w:r>
    </w:p>
    <w:p w:rsidR="00B3349A" w:rsidRPr="00015D00" w:rsidRDefault="00B3349A" w:rsidP="001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актуализации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Ефимов</w:t>
      </w:r>
      <w:r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поселения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3349A" w:rsidRPr="001341BA" w:rsidRDefault="00B3349A" w:rsidP="001341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spellEnd"/>
      <w:r w:rsidRPr="00BD2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 xml:space="preserve">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</w:t>
      </w:r>
      <w:proofErr w:type="spellStart"/>
      <w:r w:rsidRPr="00CE0121">
        <w:rPr>
          <w:rFonts w:ascii="Times New Roman" w:hAnsi="Times New Roman" w:cs="Times New Roman"/>
          <w:color w:val="000000"/>
          <w:sz w:val="28"/>
          <w:szCs w:val="28"/>
        </w:rPr>
        <w:t>области»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E5C2B">
        <w:rPr>
          <w:rFonts w:ascii="Times New Roman" w:hAnsi="Times New Roman" w:cs="Times New Roman"/>
          <w:color w:val="000000"/>
          <w:sz w:val="28"/>
          <w:szCs w:val="28"/>
        </w:rPr>
        <w:t>зложив</w:t>
      </w:r>
      <w:proofErr w:type="spellEnd"/>
      <w:r w:rsidRPr="00AE5C2B">
        <w:rPr>
          <w:rFonts w:ascii="Times New Roman" w:hAnsi="Times New Roman" w:cs="Times New Roman"/>
          <w:color w:val="000000"/>
          <w:sz w:val="28"/>
          <w:szCs w:val="28"/>
        </w:rPr>
        <w:t xml:space="preserve">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Ефимов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>ского городского поселения Бокситогорского муниципального района Ленинградской области в новой редакции (прилагается).</w:t>
      </w:r>
    </w:p>
    <w:p w:rsidR="00B3349A" w:rsidRDefault="00B3349A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251</w:t>
      </w:r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29.11.2021</w:t>
      </w:r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 "О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области».</w:t>
      </w:r>
    </w:p>
    <w:p w:rsidR="00B3349A" w:rsidRDefault="00B3349A" w:rsidP="001341BA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3.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Постановлениеопубликовать (обнародовать) в газе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 "Новый путь" 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на официальном сайте Ефимовског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городского поселения</w:t>
      </w:r>
      <w:r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3349A" w:rsidRDefault="00B3349A" w:rsidP="001341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Pr="00015D00">
        <w:rPr>
          <w:color w:val="000000"/>
          <w:sz w:val="28"/>
          <w:szCs w:val="28"/>
        </w:rPr>
        <w:t xml:space="preserve">. </w:t>
      </w:r>
      <w:r w:rsidRPr="00AE5C2B">
        <w:rPr>
          <w:color w:val="000000"/>
          <w:sz w:val="28"/>
          <w:szCs w:val="28"/>
        </w:rPr>
        <w:t xml:space="preserve"> Настоящее постановление вступает в силу на следующий день после официального опубликования.</w:t>
      </w:r>
    </w:p>
    <w:p w:rsidR="00B3349A" w:rsidRPr="00015D00" w:rsidRDefault="00B3349A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D00">
        <w:rPr>
          <w:rFonts w:ascii="Times New Roman" w:hAnsi="Times New Roman" w:cs="Times New Roman"/>
          <w:sz w:val="28"/>
          <w:szCs w:val="28"/>
          <w:u w:val="single"/>
        </w:rPr>
        <w:t>Глава администрации                                                    С.И. Покровкин</w:t>
      </w:r>
    </w:p>
    <w:p w:rsidR="00B3349A" w:rsidRDefault="00B3349A" w:rsidP="009837F0">
      <w:pPr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>Разослано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5D00">
        <w:rPr>
          <w:rFonts w:ascii="Times New Roman" w:hAnsi="Times New Roman" w:cs="Times New Roman"/>
          <w:sz w:val="28"/>
          <w:szCs w:val="28"/>
        </w:rPr>
        <w:t xml:space="preserve"> АБМР, </w:t>
      </w:r>
      <w:r w:rsidRPr="009837F0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D00">
        <w:rPr>
          <w:rFonts w:ascii="Times New Roman" w:hAnsi="Times New Roman" w:cs="Times New Roman"/>
          <w:sz w:val="28"/>
          <w:szCs w:val="28"/>
        </w:rPr>
        <w:t xml:space="preserve"> в прокуратуру,  в дело</w:t>
      </w:r>
      <w:r w:rsidRPr="00015D00">
        <w:rPr>
          <w:rStyle w:val="a8"/>
          <w:rFonts w:ascii="Times New Roman" w:hAnsi="Times New Roman" w:cs="Times New Roman"/>
          <w:sz w:val="28"/>
          <w:szCs w:val="28"/>
        </w:rPr>
        <w:t> </w:t>
      </w:r>
    </w:p>
    <w:p w:rsidR="00B3349A" w:rsidRDefault="00B3349A" w:rsidP="009837F0">
      <w:pPr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  <w:sectPr w:rsidR="00B3349A" w:rsidSect="00480DE2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B3349A" w:rsidRDefault="00B3349A" w:rsidP="009837F0">
      <w:pPr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</w:p>
    <w:p w:rsidR="00B3349A" w:rsidRDefault="00B3349A" w:rsidP="009837F0">
      <w:pPr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</w:p>
    <w:tbl>
      <w:tblPr>
        <w:tblW w:w="1574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5"/>
        <w:gridCol w:w="394"/>
        <w:gridCol w:w="691"/>
        <w:gridCol w:w="407"/>
        <w:gridCol w:w="346"/>
        <w:gridCol w:w="346"/>
        <w:gridCol w:w="461"/>
        <w:gridCol w:w="362"/>
        <w:gridCol w:w="355"/>
        <w:gridCol w:w="348"/>
        <w:gridCol w:w="355"/>
        <w:gridCol w:w="369"/>
        <w:gridCol w:w="425"/>
        <w:gridCol w:w="399"/>
        <w:gridCol w:w="1263"/>
        <w:gridCol w:w="348"/>
        <w:gridCol w:w="104"/>
        <w:gridCol w:w="244"/>
        <w:gridCol w:w="181"/>
        <w:gridCol w:w="186"/>
        <w:gridCol w:w="240"/>
        <w:gridCol w:w="708"/>
        <w:gridCol w:w="426"/>
        <w:gridCol w:w="1275"/>
        <w:gridCol w:w="709"/>
        <w:gridCol w:w="567"/>
        <w:gridCol w:w="709"/>
        <w:gridCol w:w="1529"/>
        <w:gridCol w:w="805"/>
        <w:gridCol w:w="719"/>
      </w:tblGrid>
      <w:tr w:rsidR="003A11E8" w:rsidRPr="00480DE2" w:rsidTr="009C51DF">
        <w:trPr>
          <w:trHeight w:val="28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68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B3349A" w:rsidRPr="00480DE2" w:rsidRDefault="00B3349A" w:rsidP="009C51DF">
            <w:pPr>
              <w:spacing w:after="0" w:line="240" w:lineRule="auto"/>
              <w:rPr>
                <w:color w:val="000000"/>
                <w:lang w:eastAsia="ru-RU"/>
              </w:rPr>
            </w:pPr>
            <w:r w:rsidRPr="00480DE2">
              <w:rPr>
                <w:color w:val="000000"/>
                <w:lang w:eastAsia="ru-RU"/>
              </w:rPr>
              <w:t>Приложение к постановлению администрации Ефимов</w:t>
            </w:r>
            <w:r>
              <w:rPr>
                <w:color w:val="000000"/>
                <w:lang w:eastAsia="ru-RU"/>
              </w:rPr>
              <w:t>ского городского поселения   №</w:t>
            </w:r>
            <w:r w:rsidR="009C51DF">
              <w:rPr>
                <w:color w:val="000000"/>
                <w:lang w:eastAsia="ru-RU"/>
              </w:rPr>
              <w:t xml:space="preserve"> 73 от</w:t>
            </w:r>
            <w:r>
              <w:rPr>
                <w:color w:val="000000"/>
                <w:lang w:eastAsia="ru-RU"/>
              </w:rPr>
              <w:t xml:space="preserve"> 22</w:t>
            </w:r>
            <w:r w:rsidRPr="00480DE2">
              <w:rPr>
                <w:color w:val="000000"/>
                <w:lang w:eastAsia="ru-RU"/>
              </w:rPr>
              <w:t>.04. 2022</w:t>
            </w:r>
          </w:p>
        </w:tc>
      </w:tr>
      <w:tr w:rsidR="003A11E8" w:rsidRPr="00480DE2" w:rsidTr="009C51DF">
        <w:trPr>
          <w:trHeight w:val="28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68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49A" w:rsidRPr="00480DE2" w:rsidRDefault="00B3349A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B3349A" w:rsidRPr="00480DE2" w:rsidTr="009C51DF">
        <w:trPr>
          <w:trHeight w:val="375"/>
        </w:trPr>
        <w:tc>
          <w:tcPr>
            <w:tcW w:w="1574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49A" w:rsidRPr="00480DE2" w:rsidRDefault="00B3349A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D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МЕСТ НАКОПЛЕНИЯ ТВЕРДЫХ КОММУНАЛЬНЫХ ОТХОДОВ</w:t>
            </w:r>
          </w:p>
        </w:tc>
      </w:tr>
      <w:tr w:rsidR="003A11E8" w:rsidRPr="00480DE2" w:rsidTr="009C51DF">
        <w:trPr>
          <w:trHeight w:val="102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места накопления ТКО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2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собственниках мест накопления ТКО для юр. Лиц/ данные о балансодержателях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 собственниках мест накопления ТКО для ИП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Данные о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обственниках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мест накопления ТКО для физических лиц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</w:tr>
      <w:tr w:rsidR="003A11E8" w:rsidRPr="00480DE2" w:rsidTr="009C51DF">
        <w:trPr>
          <w:cantSplit/>
          <w:trHeight w:val="235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Географические координаты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 (открытая/закрытая)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Вид контейнера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Материал, из которого изготовлен контейнер 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контейнера м3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контейнеров данного объема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Фактический адрес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деятельности, в результате которого образуется ТКО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3A11E8" w:rsidRPr="00480DE2" w:rsidTr="009C51DF">
        <w:trPr>
          <w:trHeight w:val="2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3A11E8" w:rsidRPr="00480DE2" w:rsidTr="009C51DF">
        <w:trPr>
          <w:cantSplit/>
          <w:trHeight w:val="15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</w:t>
            </w:r>
            <w:r w:rsidR="009202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Ефимовский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м-он1 д.2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1 микрорайон, д.2,3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КД,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Юр.лица</w:t>
            </w:r>
            <w:proofErr w:type="spellEnd"/>
          </w:p>
        </w:tc>
      </w:tr>
      <w:tr w:rsidR="003A11E8" w:rsidRPr="00480DE2" w:rsidTr="009C51DF">
        <w:trPr>
          <w:cantSplit/>
          <w:trHeight w:val="156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</w:t>
            </w:r>
            <w:r w:rsidR="009202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</w:p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м-он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д.4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1 микрорайон, д.3,4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КД,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Юр.лица</w:t>
            </w:r>
            <w:proofErr w:type="spellEnd"/>
          </w:p>
        </w:tc>
      </w:tr>
      <w:tr w:rsidR="003A11E8" w:rsidRPr="00480DE2" w:rsidTr="00E13B4D">
        <w:trPr>
          <w:cantSplit/>
          <w:trHeight w:val="15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 w:rsidR="009202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м-он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д.5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1 микрорайон, д.5,6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КД,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Юр.лица</w:t>
            </w:r>
            <w:proofErr w:type="spellEnd"/>
          </w:p>
        </w:tc>
      </w:tr>
      <w:tr w:rsidR="003A11E8" w:rsidRPr="00480DE2" w:rsidTr="00E13B4D">
        <w:trPr>
          <w:cantSplit/>
          <w:trHeight w:val="169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 w:rsid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м-он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д.8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1 микрорайон, д.7,8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КД,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Юр.лица</w:t>
            </w:r>
            <w:proofErr w:type="spellEnd"/>
          </w:p>
        </w:tc>
      </w:tr>
      <w:tr w:rsidR="003A11E8" w:rsidRPr="00480DE2" w:rsidTr="00E13B4D">
        <w:trPr>
          <w:cantSplit/>
          <w:trHeight w:val="168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 w:rsid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м-он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д.11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1 микрорайон, д.9,10,11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3A11E8" w:rsidRPr="00480DE2" w:rsidTr="009C51DF">
        <w:trPr>
          <w:cantSplit/>
          <w:trHeight w:val="12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 Ефимовский</w:t>
            </w:r>
          </w:p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Быстрорецкая набережная д.21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ул.Быстрорецкая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набережная,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пер.Школьный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ул.Больничная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пет.Старый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пер.Полевой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пер.Кирпичный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3A11E8" w:rsidRPr="00480DE2" w:rsidTr="009C51DF">
        <w:trPr>
          <w:cantSplit/>
          <w:trHeight w:val="26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 w:rsid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 w:rsid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Ефимовский, </w:t>
            </w:r>
          </w:p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 w:rsid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Вокзальная, д.56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нградская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ул.Вокзальная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ул.Хвойная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3A11E8" w:rsidRPr="00480DE2" w:rsidTr="009C51DF">
        <w:trPr>
          <w:cantSplit/>
          <w:trHeight w:val="15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 w:rsid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</w:p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 w:rsid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Володарского д.12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ул.Володарского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ул.Гусарова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пер.Рабочий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920267" w:rsidRPr="00480DE2" w:rsidTr="009C51DF">
        <w:trPr>
          <w:cantSplit/>
          <w:trHeight w:val="239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267" w:rsidRPr="003A11E8" w:rsidRDefault="00920267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</w:p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Володарского д.16-а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267" w:rsidRPr="003A11E8" w:rsidRDefault="00920267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ул.Володарсколго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пер.Рабочий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267" w:rsidRPr="003A11E8" w:rsidRDefault="00920267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3A11E8" w:rsidRPr="00480DE2" w:rsidTr="00906D4C">
        <w:trPr>
          <w:cantSplit/>
          <w:trHeight w:val="155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 Ефимовский,                      ул. Володарского,            д. 27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ул.Володарского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ул.Привокзальная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ул.Железнодорожная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ул.Вокзальная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ИЖС, МКД</w:t>
            </w:r>
          </w:p>
        </w:tc>
      </w:tr>
      <w:tr w:rsidR="003A11E8" w:rsidRPr="00480DE2" w:rsidTr="009C51DF">
        <w:trPr>
          <w:cantSplit/>
          <w:trHeight w:val="20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Ефимовское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потребительское общество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1024700507578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фимовский,ул.Гагарина,д1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ицо</w:t>
            </w:r>
            <w:proofErr w:type="spellEnd"/>
          </w:p>
        </w:tc>
      </w:tr>
      <w:tr w:rsidR="003A11E8" w:rsidRPr="00480DE2" w:rsidTr="009B24BE">
        <w:trPr>
          <w:cantSplit/>
          <w:trHeight w:val="15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59.496020 34.668309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ИП "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Комолов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В.В"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1024700507578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фимовский,ул.Гагарина,д5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торговля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ицо</w:t>
            </w:r>
            <w:proofErr w:type="spellEnd"/>
          </w:p>
        </w:tc>
      </w:tr>
      <w:tr w:rsidR="003A11E8" w:rsidRPr="00480DE2" w:rsidTr="009B24BE">
        <w:trPr>
          <w:cantSplit/>
          <w:trHeight w:val="154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 Ефимовский                  ул. Гагарина, д. 44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ул.Хвойная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ИЖС, МКД</w:t>
            </w:r>
          </w:p>
        </w:tc>
      </w:tr>
      <w:tr w:rsidR="003A11E8" w:rsidRPr="00480DE2" w:rsidTr="009B24BE">
        <w:trPr>
          <w:cantSplit/>
          <w:trHeight w:val="15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Горная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26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49A" w:rsidRPr="003A11E8" w:rsidRDefault="00B3349A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ул.Горная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ул.Ярославская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набережная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49A" w:rsidRPr="003A11E8" w:rsidRDefault="00B3349A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06D4C">
        <w:trPr>
          <w:cantSplit/>
          <w:trHeight w:val="22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</w:p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Гусарова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ул.Гусарова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ул.Малая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Спортивная,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пер.Рабочий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-Западная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06D4C">
        <w:trPr>
          <w:cantSplit/>
          <w:trHeight w:val="241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Ефимовский, 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Гусарова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д.24А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ограждений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ул.Гусарова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пер.Брянский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пер.Сенной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06D4C">
        <w:trPr>
          <w:cantSplit/>
          <w:trHeight w:val="154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 Ефимовский                  пер.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Заводской, д.1А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пер.Заводской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ул.Механизаторов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2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28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ул.Заводская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906D4C" w:rsidRPr="00480DE2" w:rsidTr="009C51DF">
        <w:trPr>
          <w:cantSplit/>
          <w:trHeight w:val="13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МКД,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ица</w:t>
            </w:r>
            <w:proofErr w:type="spellEnd"/>
          </w:p>
        </w:tc>
      </w:tr>
      <w:tr w:rsidR="00906D4C" w:rsidRPr="00480DE2" w:rsidTr="00906D4C">
        <w:trPr>
          <w:cantSplit/>
          <w:trHeight w:val="2402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</w:p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Комсомольская д.9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фимовский,ул.Комсомольская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ОМС городских поселений,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ИЖС, МКД,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ица</w:t>
            </w:r>
            <w:proofErr w:type="spellEnd"/>
          </w:p>
        </w:tc>
      </w:tr>
      <w:tr w:rsidR="00906D4C" w:rsidRPr="00480DE2" w:rsidTr="009C51DF">
        <w:trPr>
          <w:cantSplit/>
          <w:trHeight w:val="160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ул.Красноармейская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ул.Восточная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пер.Красноармейский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ул.Ефимово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пер.Лесной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4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Красноармейская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          д. 44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ул.Красноармейская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ул.Песочная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пер.Лесной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пер.Песочный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пер.Пионерский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пер.Восточный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06D4C">
        <w:trPr>
          <w:cantSplit/>
          <w:trHeight w:val="234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Ефимовский, 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Кузнечная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область,Бокситогорский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ул.Кузнечная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ул.Малая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Спортивная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МКД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ЖС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Леспромхозовская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ул.Леспромхозовская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МКД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ЖС</w:t>
            </w:r>
          </w:p>
        </w:tc>
      </w:tr>
      <w:tr w:rsidR="00906D4C" w:rsidRPr="00480DE2" w:rsidTr="00906D4C">
        <w:trPr>
          <w:cantSplit/>
          <w:trHeight w:val="197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     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Лесмпромхозовская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ул.Леспромхозовская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ул.Лесхозовская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ул.Гагарина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МКД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ЖС</w:t>
            </w:r>
          </w:p>
        </w:tc>
      </w:tr>
      <w:tr w:rsidR="00906D4C" w:rsidRPr="00480DE2" w:rsidTr="00906D4C">
        <w:trPr>
          <w:cantSplit/>
          <w:trHeight w:val="225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Ефимовский, </w:t>
            </w:r>
          </w:p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Луговая, д.7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ул.Луговая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ул.Кузнечная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06D4C">
        <w:trPr>
          <w:cantSplit/>
          <w:trHeight w:val="226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Механизаторов, д.6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ул.Механизаторов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06D4C">
        <w:trPr>
          <w:cantSplit/>
          <w:trHeight w:val="155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ул.Молодежная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ул.Ефимово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36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пер.Железнодорожный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пер.Восточный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пер.Овражный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ул.Пионерская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Сенная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ул.Сенная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пер.Брянский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ул.Нижегородская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пер.Сенной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06D4C">
        <w:trPr>
          <w:cantSplit/>
          <w:trHeight w:val="242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</w:t>
            </w:r>
          </w:p>
          <w:p w:rsidR="00906D4C" w:rsidRPr="003A11E8" w:rsidRDefault="00906D4C" w:rsidP="00906D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Сенная, д.17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ул.Сенная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пер.Тамбовский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 Ефимовский ул. Тамбовский шлюз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ул.Тамбовский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шлюз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    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Хвойная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22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ул.Хвойная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ул.Заводская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3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ул.Вокзальная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ул.Спортивная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ул.Садовая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4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Ефимовский,                 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ул.Хвойная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9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   ул. Школьная, в районе, д.  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ГКОУ ЛО "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Ефимовская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школа-интернат, реализующая адаптированные образовательные программы"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1034700507654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187620, Ленинградская область,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бокситогорский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Ефимовский,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фимовский,ул.Школьная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 д. 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ицо</w:t>
            </w:r>
            <w:proofErr w:type="spellEnd"/>
          </w:p>
        </w:tc>
      </w:tr>
      <w:tr w:rsidR="00906D4C" w:rsidRPr="00480DE2" w:rsidTr="00906D4C">
        <w:trPr>
          <w:cantSplit/>
          <w:trHeight w:val="269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Ефимовский </w:t>
            </w:r>
          </w:p>
          <w:p w:rsidR="00906D4C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Школьная </w:t>
            </w:r>
          </w:p>
          <w:p w:rsidR="00906D4C" w:rsidRPr="003A11E8" w:rsidRDefault="00906D4C" w:rsidP="00906D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д.13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д.1,2,3,4,5,6,13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Великое Село            на въезде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еликое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Вожани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ожани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Забелье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въезде слева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абелье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Заголодно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напротив д. 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аголодно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Заголодно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                      в районе д. 24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аголодно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Заголодно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                              в районе д. 60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аголодно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Калитки, д. 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алитки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Кожаково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на въезде справа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ожаково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ИЖС, МКД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Косые Харчевни в районе домов 12, 18, 27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осые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Харчевни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Красная Речка, д. 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Речка, д.1,2,3,4,5,6,7,8,9,10,11,12,13,14,15,16,17,18,19,20,21,22,23,24,25,26,27,28,29,30,31.32,33,34,35, 36,37,38,40,42,44,46,48,50,52,54,56,58,60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Красная Речка, напротив д. 70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Речка, д.39,41,43,45,47,49,51,68,70,72 ,74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Лопастино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въезде слева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опастино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Машнево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ашнево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Михалево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ихалево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Нос, д. 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КД 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Ростань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на въезде слева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остань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Семеново               около автобусной остановки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еменово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Сомино,       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Колхозная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ул.Колхозная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ул.Набережная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ул.Колхозная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ул.Мира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пер.Почтовый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ул.Советская,д.75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ул.Новая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Сомино,          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06D4C">
        <w:trPr>
          <w:cantSplit/>
          <w:trHeight w:val="240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рославская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 д. 24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ул.Ярославская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ул.Белозерка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5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                        ул. Ярославская, д.59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ул.Ярославская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5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Сомино,                         ул. 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Ярославская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д.68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омино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ул.Ярославская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КД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Сосновый Бор, д. 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Бор, д.1,2,3,4,5,6,7,8,9,10,11,12,13,14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Сосновый Бор, д. 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Бор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Бор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д.15,16,17,18,19,20,21,22,23,24 ,25,26,27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Спирово,                  между д. 8 и 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пирово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Спирово, в районе д. 27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пирово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Сухая Нива, д. 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ухая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Бережок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ережок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ирючево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ирючево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ородок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ограждений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ородок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ятелка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ограждений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ятелка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2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уравлево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ул.Воскресенская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уравлево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ул.Воскресенская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пер.Нетининский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ул.Новая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06D4C">
        <w:trPr>
          <w:cantSplit/>
          <w:trHeight w:val="268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Журавлево,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оскресенская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д.46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уравлево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ул.Воскресенская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пер.Нетининский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уравлево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ул.Героя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Советского Союза Волкова В.А., д.2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уравлево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ул.Воскресенская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ул.Героя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Советского Союза Волкова В.А.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абелино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абелино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лимово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КД </w:t>
            </w:r>
          </w:p>
        </w:tc>
      </w:tr>
      <w:tr w:rsidR="006432C4" w:rsidRPr="00480DE2" w:rsidTr="006432C4">
        <w:trPr>
          <w:cantSplit/>
          <w:trHeight w:val="240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(на въезде)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КД </w:t>
            </w:r>
          </w:p>
        </w:tc>
      </w:tr>
      <w:tr w:rsidR="00906D4C" w:rsidRPr="00480DE2" w:rsidTr="009C51DF">
        <w:trPr>
          <w:cantSplit/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Логиново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гравий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ограждения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огиново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зерево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зерево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олсть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без ограждений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олсть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5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ушемля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д.34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ушемля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6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садище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д.41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Бокситогорский район,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садище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Белая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елая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Боброзеро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оброзеро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6432C4" w:rsidRPr="00480DE2" w:rsidTr="006432C4">
        <w:trPr>
          <w:cantSplit/>
          <w:trHeight w:val="229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 Бор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4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Борисовщина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орисовщина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6432C4" w:rsidRPr="00480DE2" w:rsidTr="006432C4">
        <w:trPr>
          <w:cantSplit/>
          <w:trHeight w:val="22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п. Красноборский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расноборский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6432C4" w:rsidRPr="00480DE2" w:rsidTr="006432C4">
        <w:trPr>
          <w:cantSplit/>
          <w:trHeight w:val="22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Красный Бор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расный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Петрово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етрово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3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Пожарище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ожарище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6432C4" w:rsidRPr="00480DE2" w:rsidTr="006432C4">
        <w:trPr>
          <w:cantSplit/>
          <w:trHeight w:val="261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Прокушево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рокушево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20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Пятино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                         напротив дома № 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ятино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C51DF">
        <w:trPr>
          <w:cantSplit/>
          <w:trHeight w:val="17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Радогощь,                         у дома № 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адогощь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ИЖС, МКД </w:t>
            </w:r>
          </w:p>
        </w:tc>
      </w:tr>
      <w:tr w:rsidR="00906D4C" w:rsidRPr="00480DE2" w:rsidTr="009C51DF">
        <w:trPr>
          <w:cantSplit/>
          <w:trHeight w:val="17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Радогощь,                        у кладбища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адогощь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территория кладбища в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дер.Радогощь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D4C" w:rsidRPr="003A11E8" w:rsidRDefault="00906D4C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ИЖС, МКД </w:t>
            </w:r>
          </w:p>
        </w:tc>
      </w:tr>
      <w:tr w:rsidR="006432C4" w:rsidRPr="00480DE2" w:rsidTr="006432C4">
        <w:trPr>
          <w:cantSplit/>
          <w:trHeight w:val="23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Саньков Бор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аньков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6432C4" w:rsidRPr="00480DE2" w:rsidTr="006432C4">
        <w:trPr>
          <w:cantSplit/>
          <w:trHeight w:val="27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5B78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 планируемая к строительству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Сидорово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2C4" w:rsidRPr="003A11E8" w:rsidRDefault="006432C4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идорово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2C4" w:rsidRPr="003A11E8" w:rsidRDefault="006432C4" w:rsidP="003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  <w:tr w:rsidR="00906D4C" w:rsidRPr="00480DE2" w:rsidTr="009B24BE">
        <w:trPr>
          <w:cantSplit/>
          <w:trHeight w:val="167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контейнерная площадка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 Сидорово, у кладбища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 определены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6D4C" w:rsidRPr="003A11E8" w:rsidRDefault="00906D4C" w:rsidP="003A11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1054701512447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область,  Бокситогорский район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фимовский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Жилые дома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идорово</w:t>
            </w:r>
            <w:proofErr w:type="spellEnd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территория кладбища в </w:t>
            </w:r>
            <w:proofErr w:type="spellStart"/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дер.Сидорово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D4C" w:rsidRPr="003A11E8" w:rsidRDefault="00906D4C" w:rsidP="003A1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1E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ИЖС</w:t>
            </w:r>
          </w:p>
        </w:tc>
      </w:tr>
    </w:tbl>
    <w:p w:rsidR="00B3349A" w:rsidRPr="009837F0" w:rsidRDefault="00B3349A" w:rsidP="0098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349A" w:rsidRPr="009837F0" w:rsidSect="009C51DF">
      <w:pgSz w:w="16838" w:h="11906" w:orient="landscape"/>
      <w:pgMar w:top="851" w:right="851" w:bottom="567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55EF"/>
    <w:multiLevelType w:val="hybridMultilevel"/>
    <w:tmpl w:val="DCF666E0"/>
    <w:lvl w:ilvl="0" w:tplc="6720D65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35B9"/>
    <w:multiLevelType w:val="hybridMultilevel"/>
    <w:tmpl w:val="61A21F6A"/>
    <w:lvl w:ilvl="0" w:tplc="16CE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22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30"/>
  </w:num>
  <w:num w:numId="7">
    <w:abstractNumId w:val="27"/>
  </w:num>
  <w:num w:numId="8">
    <w:abstractNumId w:val="8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5"/>
  </w:num>
  <w:num w:numId="15">
    <w:abstractNumId w:val="26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3"/>
  </w:num>
  <w:num w:numId="24">
    <w:abstractNumId w:val="7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4"/>
  </w:num>
  <w:num w:numId="30">
    <w:abstractNumId w:val="16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C90"/>
    <w:rsid w:val="000154B9"/>
    <w:rsid w:val="00015D00"/>
    <w:rsid w:val="00021182"/>
    <w:rsid w:val="0003276F"/>
    <w:rsid w:val="00040360"/>
    <w:rsid w:val="000567C2"/>
    <w:rsid w:val="0006335D"/>
    <w:rsid w:val="0006791B"/>
    <w:rsid w:val="0007033D"/>
    <w:rsid w:val="0007563F"/>
    <w:rsid w:val="000757BC"/>
    <w:rsid w:val="000A629E"/>
    <w:rsid w:val="000A7F96"/>
    <w:rsid w:val="000B6E96"/>
    <w:rsid w:val="000C6465"/>
    <w:rsid w:val="000D09B0"/>
    <w:rsid w:val="000D26A6"/>
    <w:rsid w:val="000D3B74"/>
    <w:rsid w:val="000E6233"/>
    <w:rsid w:val="000E643B"/>
    <w:rsid w:val="000F32E6"/>
    <w:rsid w:val="00107255"/>
    <w:rsid w:val="00126C70"/>
    <w:rsid w:val="00130988"/>
    <w:rsid w:val="001341BA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0199"/>
    <w:rsid w:val="002B593E"/>
    <w:rsid w:val="002B6072"/>
    <w:rsid w:val="002C247B"/>
    <w:rsid w:val="002D383F"/>
    <w:rsid w:val="002D3DC5"/>
    <w:rsid w:val="002E2601"/>
    <w:rsid w:val="002E6205"/>
    <w:rsid w:val="0030734B"/>
    <w:rsid w:val="003253A6"/>
    <w:rsid w:val="00360CE1"/>
    <w:rsid w:val="003644E6"/>
    <w:rsid w:val="003727D4"/>
    <w:rsid w:val="00372B76"/>
    <w:rsid w:val="0037401A"/>
    <w:rsid w:val="00377779"/>
    <w:rsid w:val="00390C5C"/>
    <w:rsid w:val="00394066"/>
    <w:rsid w:val="003A11E8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4516B"/>
    <w:rsid w:val="00454EFF"/>
    <w:rsid w:val="00462753"/>
    <w:rsid w:val="00472478"/>
    <w:rsid w:val="00474082"/>
    <w:rsid w:val="00480DE2"/>
    <w:rsid w:val="0049118D"/>
    <w:rsid w:val="004A1B45"/>
    <w:rsid w:val="004A60A2"/>
    <w:rsid w:val="004B34CD"/>
    <w:rsid w:val="004B5CC5"/>
    <w:rsid w:val="004C1112"/>
    <w:rsid w:val="004C4FC0"/>
    <w:rsid w:val="004D35C9"/>
    <w:rsid w:val="004E3236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B6E62"/>
    <w:rsid w:val="005C119F"/>
    <w:rsid w:val="005C5E1F"/>
    <w:rsid w:val="005C63B8"/>
    <w:rsid w:val="005C6FBE"/>
    <w:rsid w:val="005D0418"/>
    <w:rsid w:val="005D6038"/>
    <w:rsid w:val="005E1EBD"/>
    <w:rsid w:val="005F1C3A"/>
    <w:rsid w:val="006010B7"/>
    <w:rsid w:val="006221FD"/>
    <w:rsid w:val="00623548"/>
    <w:rsid w:val="00624F04"/>
    <w:rsid w:val="006252BD"/>
    <w:rsid w:val="00627EE8"/>
    <w:rsid w:val="0063261D"/>
    <w:rsid w:val="00633E55"/>
    <w:rsid w:val="0064067A"/>
    <w:rsid w:val="006411F1"/>
    <w:rsid w:val="00641856"/>
    <w:rsid w:val="006432C4"/>
    <w:rsid w:val="006517EF"/>
    <w:rsid w:val="00653699"/>
    <w:rsid w:val="00657199"/>
    <w:rsid w:val="006678D1"/>
    <w:rsid w:val="006679D0"/>
    <w:rsid w:val="00676240"/>
    <w:rsid w:val="00681AE9"/>
    <w:rsid w:val="0069742A"/>
    <w:rsid w:val="006A1A5D"/>
    <w:rsid w:val="006A363F"/>
    <w:rsid w:val="006A5C84"/>
    <w:rsid w:val="006A7D1A"/>
    <w:rsid w:val="006B29AB"/>
    <w:rsid w:val="006D35D4"/>
    <w:rsid w:val="006D44CF"/>
    <w:rsid w:val="006E2D49"/>
    <w:rsid w:val="00705716"/>
    <w:rsid w:val="00705BC6"/>
    <w:rsid w:val="00707D33"/>
    <w:rsid w:val="0071023B"/>
    <w:rsid w:val="00712573"/>
    <w:rsid w:val="007208D9"/>
    <w:rsid w:val="007264AC"/>
    <w:rsid w:val="00733C15"/>
    <w:rsid w:val="00734B71"/>
    <w:rsid w:val="0073536B"/>
    <w:rsid w:val="00767044"/>
    <w:rsid w:val="00775AE7"/>
    <w:rsid w:val="00783121"/>
    <w:rsid w:val="00790B0E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40996"/>
    <w:rsid w:val="00845EFA"/>
    <w:rsid w:val="00861FC8"/>
    <w:rsid w:val="008700C9"/>
    <w:rsid w:val="00882BF5"/>
    <w:rsid w:val="00894720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06D4C"/>
    <w:rsid w:val="0091153F"/>
    <w:rsid w:val="009118C9"/>
    <w:rsid w:val="009168FB"/>
    <w:rsid w:val="00920267"/>
    <w:rsid w:val="009237A1"/>
    <w:rsid w:val="00942C26"/>
    <w:rsid w:val="00950328"/>
    <w:rsid w:val="00951D90"/>
    <w:rsid w:val="0096538D"/>
    <w:rsid w:val="009837F0"/>
    <w:rsid w:val="009A1828"/>
    <w:rsid w:val="009B24BE"/>
    <w:rsid w:val="009B3222"/>
    <w:rsid w:val="009B5AD6"/>
    <w:rsid w:val="009C03C3"/>
    <w:rsid w:val="009C51DF"/>
    <w:rsid w:val="009C5DBB"/>
    <w:rsid w:val="009E1AAF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83DED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E5C2B"/>
    <w:rsid w:val="00AF2487"/>
    <w:rsid w:val="00AF261A"/>
    <w:rsid w:val="00AF53A9"/>
    <w:rsid w:val="00AF5883"/>
    <w:rsid w:val="00AF6E2E"/>
    <w:rsid w:val="00B17645"/>
    <w:rsid w:val="00B20D75"/>
    <w:rsid w:val="00B31155"/>
    <w:rsid w:val="00B3349A"/>
    <w:rsid w:val="00B35948"/>
    <w:rsid w:val="00B360C5"/>
    <w:rsid w:val="00B42563"/>
    <w:rsid w:val="00B45A27"/>
    <w:rsid w:val="00B47006"/>
    <w:rsid w:val="00B558AD"/>
    <w:rsid w:val="00B7106D"/>
    <w:rsid w:val="00B7508D"/>
    <w:rsid w:val="00B807E2"/>
    <w:rsid w:val="00B952C6"/>
    <w:rsid w:val="00B95937"/>
    <w:rsid w:val="00BA0EA6"/>
    <w:rsid w:val="00BA10E2"/>
    <w:rsid w:val="00BA3D18"/>
    <w:rsid w:val="00BA450D"/>
    <w:rsid w:val="00BB553D"/>
    <w:rsid w:val="00BB5FB5"/>
    <w:rsid w:val="00BC58B7"/>
    <w:rsid w:val="00BC7B38"/>
    <w:rsid w:val="00BD1C64"/>
    <w:rsid w:val="00BD2EAA"/>
    <w:rsid w:val="00BD4327"/>
    <w:rsid w:val="00BF0C45"/>
    <w:rsid w:val="00C120D2"/>
    <w:rsid w:val="00C21551"/>
    <w:rsid w:val="00C302C3"/>
    <w:rsid w:val="00C33630"/>
    <w:rsid w:val="00C435AE"/>
    <w:rsid w:val="00C64F14"/>
    <w:rsid w:val="00C720E0"/>
    <w:rsid w:val="00C75DD9"/>
    <w:rsid w:val="00C82980"/>
    <w:rsid w:val="00C91D31"/>
    <w:rsid w:val="00CE012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35837"/>
    <w:rsid w:val="00D465A2"/>
    <w:rsid w:val="00D5056F"/>
    <w:rsid w:val="00D54C4E"/>
    <w:rsid w:val="00D669A8"/>
    <w:rsid w:val="00D75956"/>
    <w:rsid w:val="00D844DA"/>
    <w:rsid w:val="00D90A08"/>
    <w:rsid w:val="00DA0398"/>
    <w:rsid w:val="00DA15F2"/>
    <w:rsid w:val="00DA16A7"/>
    <w:rsid w:val="00DB740D"/>
    <w:rsid w:val="00DC15DA"/>
    <w:rsid w:val="00DC7D70"/>
    <w:rsid w:val="00DD699D"/>
    <w:rsid w:val="00DF2CDF"/>
    <w:rsid w:val="00DF662D"/>
    <w:rsid w:val="00E00090"/>
    <w:rsid w:val="00E0058E"/>
    <w:rsid w:val="00E05065"/>
    <w:rsid w:val="00E13B4D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1236B"/>
    <w:rsid w:val="00F14FE9"/>
    <w:rsid w:val="00F360F0"/>
    <w:rsid w:val="00F3782A"/>
    <w:rsid w:val="00F44939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D54CD"/>
    <w:rsid w:val="00FE2D51"/>
    <w:rsid w:val="00FE45C9"/>
    <w:rsid w:val="00FF4C7C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53FE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a3">
    <w:name w:val="Hyperlink"/>
    <w:uiPriority w:val="99"/>
    <w:semiHidden/>
    <w:rsid w:val="00DF2CD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DF2CDF"/>
    <w:pPr>
      <w:ind w:left="720"/>
    </w:pPr>
  </w:style>
  <w:style w:type="paragraph" w:styleId="a4">
    <w:name w:val="Balloon Text"/>
    <w:basedOn w:val="a"/>
    <w:link w:val="a5"/>
    <w:uiPriority w:val="99"/>
    <w:semiHidden/>
    <w:rsid w:val="00A5718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a0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Normal (Web)"/>
    <w:basedOn w:val="a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DA0398"/>
    <w:rPr>
      <w:b/>
      <w:bCs/>
    </w:rPr>
  </w:style>
  <w:style w:type="paragraph" w:customStyle="1" w:styleId="ConsNormal">
    <w:name w:val="ConsNormal"/>
    <w:uiPriority w:val="99"/>
    <w:rsid w:val="00A83DE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5310</Words>
  <Characters>30270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Адмнистрация</cp:lastModifiedBy>
  <cp:revision>23</cp:revision>
  <cp:lastPrinted>2021-02-12T09:35:00Z</cp:lastPrinted>
  <dcterms:created xsi:type="dcterms:W3CDTF">2021-02-08T10:54:00Z</dcterms:created>
  <dcterms:modified xsi:type="dcterms:W3CDTF">2022-06-28T13:02:00Z</dcterms:modified>
</cp:coreProperties>
</file>